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470E">
      <w:pPr>
        <w:ind w:firstLine="0" w:firstLineChars="0"/>
        <w:jc w:val="center"/>
        <w:rPr>
          <w:b/>
          <w:bCs/>
          <w:sz w:val="48"/>
          <w:szCs w:val="48"/>
          <w:highlight w:val="none"/>
        </w:rPr>
      </w:pPr>
      <w:r>
        <w:rPr>
          <w:rFonts w:hint="eastAsia"/>
          <w:b/>
          <w:bCs/>
          <w:sz w:val="48"/>
          <w:szCs w:val="48"/>
          <w:highlight w:val="none"/>
        </w:rPr>
        <w:t>内蒙古卓正煤化工有限公司</w:t>
      </w:r>
    </w:p>
    <w:p w14:paraId="11E2E92E">
      <w:pPr>
        <w:ind w:firstLine="0" w:firstLineChars="0"/>
        <w:jc w:val="center"/>
        <w:rPr>
          <w:b/>
          <w:bCs/>
          <w:sz w:val="48"/>
          <w:szCs w:val="48"/>
          <w:highlight w:val="none"/>
        </w:rPr>
      </w:pPr>
      <w:r>
        <w:rPr>
          <w:rFonts w:hint="eastAsia"/>
          <w:b/>
          <w:bCs/>
          <w:sz w:val="48"/>
          <w:szCs w:val="48"/>
          <w:highlight w:val="none"/>
          <w:lang w:val="en-US" w:eastAsia="zh-CN"/>
        </w:rPr>
        <w:t>年产120万吨煤制甲醇优化变更为年产100万吨煤制甲醇项目、</w:t>
      </w:r>
      <w:r>
        <w:rPr>
          <w:rFonts w:hint="eastAsia"/>
          <w:b/>
          <w:bCs/>
          <w:sz w:val="48"/>
          <w:szCs w:val="48"/>
          <w:highlight w:val="none"/>
        </w:rPr>
        <w:t>甲醇醋酸延链优化深加工与综合利用</w:t>
      </w:r>
    </w:p>
    <w:p w14:paraId="42F821DE">
      <w:pPr>
        <w:ind w:firstLine="0" w:firstLineChars="0"/>
        <w:jc w:val="center"/>
        <w:rPr>
          <w:rFonts w:hint="eastAsia"/>
          <w:b/>
          <w:bCs/>
          <w:sz w:val="48"/>
          <w:szCs w:val="48"/>
          <w:highlight w:val="none"/>
        </w:rPr>
      </w:pPr>
      <w:r>
        <w:rPr>
          <w:rFonts w:hint="eastAsia"/>
          <w:b/>
          <w:bCs/>
          <w:sz w:val="48"/>
          <w:szCs w:val="48"/>
          <w:highlight w:val="none"/>
        </w:rPr>
        <w:t>生产高端化学品</w:t>
      </w:r>
      <w:r>
        <w:rPr>
          <w:rFonts w:hint="eastAsia"/>
          <w:b/>
          <w:bCs/>
          <w:sz w:val="48"/>
          <w:szCs w:val="48"/>
          <w:highlight w:val="none"/>
          <w:lang w:val="en-US" w:eastAsia="zh-CN"/>
        </w:rPr>
        <w:t>材料项目和</w:t>
      </w:r>
      <w:r>
        <w:rPr>
          <w:rFonts w:hint="eastAsia"/>
          <w:b/>
          <w:bCs/>
          <w:sz w:val="48"/>
          <w:szCs w:val="48"/>
          <w:highlight w:val="none"/>
        </w:rPr>
        <w:t>新材料项目</w:t>
      </w:r>
    </w:p>
    <w:p w14:paraId="743E7FD2">
      <w:pPr>
        <w:ind w:firstLine="0" w:firstLineChars="0"/>
        <w:jc w:val="center"/>
        <w:rPr>
          <w:rFonts w:hint="eastAsia"/>
          <w:b/>
          <w:bCs/>
          <w:sz w:val="48"/>
          <w:szCs w:val="48"/>
          <w:highlight w:val="none"/>
        </w:rPr>
      </w:pPr>
    </w:p>
    <w:p w14:paraId="11E28003">
      <w:pPr>
        <w:ind w:firstLine="0" w:firstLineChars="0"/>
        <w:jc w:val="center"/>
        <w:outlineLvl w:val="0"/>
        <w:rPr>
          <w:rFonts w:hint="eastAsia"/>
          <w:b/>
          <w:bCs/>
          <w:sz w:val="48"/>
          <w:szCs w:val="48"/>
          <w:highlight w:val="none"/>
        </w:rPr>
      </w:pPr>
      <w:bookmarkStart w:id="0" w:name="_Toc19077"/>
      <w:r>
        <w:rPr>
          <w:rFonts w:hint="default" w:ascii="Times New Roman" w:hAnsi="Times New Roman" w:cs="Times New Roman"/>
          <w:b/>
          <w:bCs/>
          <w:sz w:val="48"/>
          <w:szCs w:val="48"/>
          <w:lang w:val="en-US" w:eastAsia="zh-CN"/>
        </w:rPr>
        <w:t>循环水加压</w:t>
      </w:r>
      <w:r>
        <w:rPr>
          <w:rFonts w:hint="default" w:ascii="Times New Roman" w:hAnsi="Times New Roman" w:cs="Times New Roman"/>
          <w:b/>
          <w:bCs/>
          <w:sz w:val="48"/>
          <w:szCs w:val="48"/>
        </w:rPr>
        <w:t>泵</w:t>
      </w:r>
      <w:bookmarkEnd w:id="0"/>
    </w:p>
    <w:p w14:paraId="133036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color w:val="auto"/>
          <w:w w:val="98"/>
          <w:kern w:val="0"/>
          <w:sz w:val="44"/>
          <w:szCs w:val="44"/>
          <w:highlight w:val="none"/>
        </w:rPr>
      </w:pPr>
    </w:p>
    <w:p w14:paraId="56D8F3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eastAsiaTheme="minorEastAsia"/>
          <w:b/>
          <w:bCs/>
          <w:color w:val="auto"/>
          <w:w w:val="98"/>
          <w:kern w:val="0"/>
          <w:sz w:val="44"/>
          <w:szCs w:val="44"/>
          <w:highlight w:val="none"/>
          <w:lang w:eastAsia="zh-CN"/>
        </w:rPr>
      </w:pPr>
      <w:r>
        <w:rPr>
          <w:rFonts w:hint="eastAsia" w:ascii="宋体" w:hAnsi="宋体" w:cs="宋体"/>
          <w:b/>
          <w:bCs/>
          <w:color w:val="auto"/>
          <w:w w:val="98"/>
          <w:kern w:val="0"/>
          <w:sz w:val="44"/>
          <w:szCs w:val="44"/>
          <w:highlight w:val="none"/>
        </w:rPr>
        <w:t>招标报名暨资格预审公告</w:t>
      </w:r>
    </w:p>
    <w:p w14:paraId="7E883298">
      <w:pPr>
        <w:pStyle w:val="8"/>
        <w:keepNext w:val="0"/>
        <w:keepLines w:val="0"/>
        <w:pageBreakBefore w:val="0"/>
        <w:widowControl/>
        <w:kinsoku/>
        <w:wordWrap/>
        <w:overflowPunct/>
        <w:topLinePunct w:val="0"/>
        <w:autoSpaceDE/>
        <w:autoSpaceDN/>
        <w:bidi w:val="0"/>
        <w:adjustRightInd/>
        <w:snapToGrid/>
        <w:spacing w:line="360" w:lineRule="auto"/>
        <w:ind w:firstLine="0" w:firstLineChars="0"/>
        <w:contextualSpacing/>
        <w:textAlignment w:val="auto"/>
        <w:rPr>
          <w:rFonts w:asciiTheme="minorEastAsia" w:hAnsiTheme="minorEastAsia"/>
          <w:color w:val="auto"/>
          <w:highlight w:val="none"/>
        </w:rPr>
      </w:pPr>
    </w:p>
    <w:p w14:paraId="34FE47CC">
      <w:pPr>
        <w:pStyle w:val="8"/>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highlight w:val="none"/>
          <w:lang w:val="en-US" w:eastAsia="zh-CN"/>
        </w:rPr>
        <w:t>内蒙古卓正煤化工有限公司年产120万吨煤制甲醇优化变更为年产100万吨煤制甲醇项目、甲醇醋酸延链优化深加工与综合利用生产高端化学品材料项目和新材料项目循环水加压泵</w:t>
      </w:r>
      <w:r>
        <w:rPr>
          <w:rFonts w:hint="eastAsia" w:ascii="仿宋" w:hAnsi="仿宋" w:eastAsia="仿宋" w:cs="仿宋"/>
          <w:color w:val="000000" w:themeColor="text1"/>
          <w:sz w:val="32"/>
          <w:szCs w:val="32"/>
          <w:highlight w:val="none"/>
          <w14:textFill>
            <w14:solidFill>
              <w14:schemeClr w14:val="tx1"/>
            </w14:solidFill>
          </w14:textFill>
        </w:rPr>
        <w:t>进行投标单位报名暨资格预审，具体说明及要求如下：</w:t>
      </w:r>
    </w:p>
    <w:p w14:paraId="20E7C3E3">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1、项目概况</w:t>
      </w:r>
    </w:p>
    <w:p w14:paraId="55DC3231">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1.1项目简介：</w:t>
      </w:r>
      <w:r>
        <w:rPr>
          <w:rFonts w:hint="eastAsia" w:ascii="仿宋" w:hAnsi="仿宋" w:eastAsia="仿宋" w:cs="仿宋"/>
          <w:b w:val="0"/>
          <w:bCs w:val="0"/>
          <w:color w:val="auto"/>
          <w:sz w:val="32"/>
          <w:szCs w:val="32"/>
          <w:highlight w:val="none"/>
          <w:lang w:val="en-US" w:eastAsia="zh-CN"/>
        </w:rPr>
        <w:t>内</w:t>
      </w:r>
      <w:r>
        <w:rPr>
          <w:rFonts w:hint="eastAsia" w:ascii="仿宋" w:hAnsi="仿宋" w:eastAsia="仿宋" w:cs="仿宋"/>
          <w:color w:val="auto"/>
          <w:sz w:val="32"/>
          <w:szCs w:val="32"/>
          <w:highlight w:val="none"/>
          <w:lang w:val="en-US" w:eastAsia="zh-CN"/>
        </w:rPr>
        <w:t>蒙古卓正煤化工有限公司是内蒙古汇能煤电集团有限公司响</w:t>
      </w:r>
      <w:r>
        <w:rPr>
          <w:rFonts w:hint="eastAsia" w:ascii="仿宋" w:hAnsi="仿宋" w:eastAsia="仿宋" w:cs="仿宋"/>
          <w:color w:val="auto"/>
          <w:sz w:val="32"/>
          <w:szCs w:val="32"/>
          <w:highlight w:val="none"/>
        </w:rPr>
        <w:t>应自治区“五个大起底”行动方案</w:t>
      </w:r>
      <w:r>
        <w:rPr>
          <w:rFonts w:hint="eastAsia" w:ascii="仿宋" w:hAnsi="仿宋" w:eastAsia="仿宋" w:cs="仿宋"/>
          <w:color w:val="auto"/>
          <w:sz w:val="32"/>
          <w:szCs w:val="32"/>
          <w:highlight w:val="none"/>
          <w:lang w:val="en-US" w:eastAsia="zh-CN"/>
        </w:rPr>
        <w:t>，从解决历史遗留问题、缓解社会压力大局出发，以推进能源经济多元化、低碳化、高端化发展为目标，收购的全资子公司</w:t>
      </w:r>
      <w:r>
        <w:rPr>
          <w:rFonts w:hint="eastAsia" w:ascii="仿宋" w:hAnsi="仿宋" w:eastAsia="仿宋" w:cs="仿宋"/>
          <w:color w:val="auto"/>
          <w:sz w:val="32"/>
          <w:szCs w:val="32"/>
          <w:highlight w:val="none"/>
          <w:lang w:eastAsia="zh-CN"/>
        </w:rPr>
        <w:t>。</w:t>
      </w:r>
    </w:p>
    <w:p w14:paraId="56BBE996">
      <w:pPr>
        <w:pStyle w:val="8"/>
        <w:keepNext w:val="0"/>
        <w:keepLines w:val="0"/>
        <w:pageBreakBefore w:val="0"/>
        <w:widowControl/>
        <w:shd w:val="clear"/>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内蒙古卓正煤化工有限公司年产120万吨煤制甲醇优化变更为年产100万吨煤制甲醇项目、甲醇醋酸延链优化深加工与综合利用生产高端化学品及新材料项目和新材料项目位于乌审旗苏里格经济开发区纳林河产业园，该项目在原年产120万吨甲醇和100万吨醋酸项目的基础上按照国家绿色低碳、节能环保的产业引导政策，采用先进的工艺技术，建设200万吨/年原煤预处理装置、100万吨/年甲醇装置、50万吨/年醋酸装置、60万吨/年乙醇装置、35万吨/年乙醇酸甲酯 (MG)装置、20万吨/年聚乙醇酸(PGA)装置、6万吨/年聚甲醛 (POM) 装置、液化天然气(LNG)装置等配套公辅工程。</w:t>
      </w:r>
    </w:p>
    <w:p w14:paraId="0B6D3EB4">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1.2招标人：</w:t>
      </w:r>
      <w:r>
        <w:rPr>
          <w:rFonts w:hint="eastAsia" w:ascii="仿宋" w:hAnsi="仿宋" w:eastAsia="仿宋" w:cs="仿宋"/>
          <w:color w:val="auto"/>
          <w:sz w:val="32"/>
          <w:szCs w:val="32"/>
          <w:highlight w:val="none"/>
          <w:lang w:val="en-US" w:eastAsia="zh-CN"/>
        </w:rPr>
        <w:t>内蒙古卓正煤化工有限公司</w:t>
      </w:r>
    </w:p>
    <w:p w14:paraId="74A9E960">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1.3建设地点：</w:t>
      </w:r>
      <w:r>
        <w:rPr>
          <w:rFonts w:hint="eastAsia" w:ascii="仿宋" w:hAnsi="仿宋" w:eastAsia="仿宋" w:cs="仿宋"/>
          <w:b w:val="0"/>
          <w:bCs w:val="0"/>
          <w:color w:val="auto"/>
          <w:kern w:val="0"/>
          <w:sz w:val="32"/>
          <w:szCs w:val="32"/>
          <w:highlight w:val="none"/>
          <w:lang w:val="en-US" w:eastAsia="zh-CN" w:bidi="ar-SA"/>
        </w:rPr>
        <w:t>鄂</w:t>
      </w:r>
      <w:r>
        <w:rPr>
          <w:rFonts w:hint="eastAsia" w:ascii="仿宋" w:hAnsi="仿宋" w:eastAsia="仿宋" w:cs="仿宋"/>
          <w:color w:val="auto"/>
          <w:sz w:val="32"/>
          <w:szCs w:val="32"/>
          <w:highlight w:val="none"/>
          <w:lang w:val="en-US" w:eastAsia="zh-CN"/>
        </w:rPr>
        <w:t>尔多斯市乌审旗苏里格经济开发区纳林河产业园内蒙古卓正煤化工有限公司</w:t>
      </w:r>
    </w:p>
    <w:p w14:paraId="14C2F3BC">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1.4招标方式：</w:t>
      </w:r>
      <w:r>
        <w:rPr>
          <w:rFonts w:hint="eastAsia" w:ascii="仿宋" w:hAnsi="仿宋" w:eastAsia="仿宋" w:cs="仿宋"/>
          <w:color w:val="auto"/>
          <w:sz w:val="32"/>
          <w:szCs w:val="32"/>
          <w:highlight w:val="none"/>
          <w:lang w:val="en-US" w:eastAsia="zh-CN"/>
        </w:rPr>
        <w:t>邀请招标</w:t>
      </w:r>
    </w:p>
    <w:tbl>
      <w:tblPr>
        <w:tblStyle w:val="9"/>
        <w:tblpPr w:leftFromText="180" w:rightFromText="180" w:vertAnchor="text" w:horzAnchor="page" w:tblpX="1683" w:tblpY="560"/>
        <w:tblOverlap w:val="never"/>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95"/>
        <w:gridCol w:w="995"/>
        <w:gridCol w:w="1023"/>
        <w:gridCol w:w="1377"/>
        <w:gridCol w:w="2818"/>
        <w:gridCol w:w="1049"/>
      </w:tblGrid>
      <w:tr w14:paraId="1B1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709" w:type="dxa"/>
            <w:noWrap w:val="0"/>
            <w:vAlign w:val="center"/>
          </w:tcPr>
          <w:p w14:paraId="20D58A4B">
            <w:pPr>
              <w:spacing w:line="44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1895" w:type="dxa"/>
            <w:noWrap w:val="0"/>
            <w:vAlign w:val="center"/>
          </w:tcPr>
          <w:p w14:paraId="4AA1F9B6">
            <w:pPr>
              <w:spacing w:line="440" w:lineRule="exact"/>
              <w:ind w:firstLine="33" w:firstLineChars="14"/>
              <w:jc w:val="center"/>
              <w:rPr>
                <w:rFonts w:hint="default" w:ascii="Times New Roman" w:hAnsi="Times New Roman" w:cs="Times New Roman"/>
                <w:sz w:val="24"/>
                <w:szCs w:val="24"/>
              </w:rPr>
            </w:pPr>
            <w:r>
              <w:rPr>
                <w:rFonts w:hint="default" w:ascii="Times New Roman" w:hAnsi="Times New Roman" w:cs="Times New Roman"/>
                <w:sz w:val="24"/>
                <w:szCs w:val="24"/>
              </w:rPr>
              <w:t>设备名称</w:t>
            </w:r>
          </w:p>
        </w:tc>
        <w:tc>
          <w:tcPr>
            <w:tcW w:w="995" w:type="dxa"/>
            <w:noWrap w:val="0"/>
            <w:vAlign w:val="center"/>
          </w:tcPr>
          <w:p w14:paraId="66D6DCA5">
            <w:pPr>
              <w:spacing w:line="44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物料</w:t>
            </w:r>
          </w:p>
        </w:tc>
        <w:tc>
          <w:tcPr>
            <w:tcW w:w="1023" w:type="dxa"/>
            <w:noWrap w:val="0"/>
            <w:vAlign w:val="center"/>
          </w:tcPr>
          <w:p w14:paraId="23FB1C86">
            <w:pPr>
              <w:spacing w:line="44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1377" w:type="dxa"/>
            <w:shd w:val="clear" w:color="auto" w:fill="auto"/>
            <w:noWrap w:val="0"/>
            <w:vAlign w:val="center"/>
          </w:tcPr>
          <w:p w14:paraId="4E1E0796">
            <w:pPr>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kern w:val="2"/>
                <w:sz w:val="24"/>
                <w:szCs w:val="24"/>
                <w:lang w:val="en-US" w:eastAsia="zh-CN" w:bidi="ar-SA"/>
              </w:rPr>
              <w:t>单位</w:t>
            </w:r>
          </w:p>
        </w:tc>
        <w:tc>
          <w:tcPr>
            <w:tcW w:w="2818" w:type="dxa"/>
            <w:shd w:val="clear" w:color="auto" w:fill="auto"/>
            <w:noWrap w:val="0"/>
            <w:vAlign w:val="center"/>
          </w:tcPr>
          <w:p w14:paraId="638B6C1D">
            <w:pPr>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sz w:val="24"/>
                <w:szCs w:val="24"/>
              </w:rPr>
              <w:t>位号</w:t>
            </w:r>
          </w:p>
        </w:tc>
        <w:tc>
          <w:tcPr>
            <w:tcW w:w="1049" w:type="dxa"/>
            <w:noWrap w:val="0"/>
            <w:vAlign w:val="center"/>
          </w:tcPr>
          <w:p w14:paraId="66D2E9C1">
            <w:pPr>
              <w:spacing w:line="44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14:paraId="416B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09" w:type="dxa"/>
            <w:noWrap w:val="0"/>
            <w:vAlign w:val="center"/>
          </w:tcPr>
          <w:p w14:paraId="2CAD04A6">
            <w:pPr>
              <w:numPr>
                <w:ilvl w:val="0"/>
                <w:numId w:val="0"/>
              </w:numPr>
              <w:spacing w:line="440" w:lineRule="exact"/>
              <w:ind w:leftChars="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w:t>
            </w:r>
          </w:p>
        </w:tc>
        <w:tc>
          <w:tcPr>
            <w:tcW w:w="1895" w:type="dxa"/>
            <w:noWrap w:val="0"/>
            <w:vAlign w:val="center"/>
          </w:tcPr>
          <w:p w14:paraId="53330DA4">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循环水加压</w:t>
            </w:r>
            <w:r>
              <w:rPr>
                <w:rFonts w:hint="default" w:ascii="Times New Roman" w:hAnsi="Times New Roman" w:cs="Times New Roman"/>
                <w:sz w:val="24"/>
                <w:szCs w:val="24"/>
              </w:rPr>
              <w:t>泵</w:t>
            </w:r>
          </w:p>
        </w:tc>
        <w:tc>
          <w:tcPr>
            <w:tcW w:w="995" w:type="dxa"/>
            <w:noWrap w:val="0"/>
            <w:vAlign w:val="center"/>
          </w:tcPr>
          <w:p w14:paraId="5A90452E">
            <w:pPr>
              <w:spacing w:line="440" w:lineRule="exact"/>
              <w:ind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冷却</w:t>
            </w:r>
            <w:r>
              <w:rPr>
                <w:rFonts w:hint="default" w:ascii="Times New Roman" w:hAnsi="Times New Roman" w:cs="Times New Roman"/>
                <w:sz w:val="24"/>
                <w:szCs w:val="24"/>
                <w:lang w:val="en-US" w:eastAsia="zh-CN"/>
              </w:rPr>
              <w:t>水</w:t>
            </w:r>
          </w:p>
        </w:tc>
        <w:tc>
          <w:tcPr>
            <w:tcW w:w="1023" w:type="dxa"/>
            <w:noWrap w:val="0"/>
            <w:vAlign w:val="center"/>
          </w:tcPr>
          <w:p w14:paraId="7C504B11">
            <w:pPr>
              <w:spacing w:line="44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377" w:type="dxa"/>
            <w:shd w:val="clear" w:color="auto" w:fill="auto"/>
            <w:noWrap w:val="0"/>
            <w:vAlign w:val="center"/>
          </w:tcPr>
          <w:p w14:paraId="1DE085E0">
            <w:pPr>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kern w:val="2"/>
                <w:sz w:val="24"/>
                <w:szCs w:val="24"/>
                <w:lang w:val="en-US" w:eastAsia="zh-CN" w:bidi="ar-SA"/>
              </w:rPr>
              <w:t>台/套</w:t>
            </w:r>
          </w:p>
        </w:tc>
        <w:tc>
          <w:tcPr>
            <w:tcW w:w="2818" w:type="dxa"/>
            <w:shd w:val="clear" w:color="auto" w:fill="auto"/>
            <w:noWrap w:val="0"/>
            <w:vAlign w:val="center"/>
          </w:tcPr>
          <w:p w14:paraId="1FFFAF26">
            <w:pPr>
              <w:spacing w:line="440" w:lineRule="exact"/>
              <w:ind w:firstLine="0" w:firstLineChars="0"/>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1119-</w:t>
            </w:r>
            <w:r>
              <w:rPr>
                <w:rFonts w:hint="default" w:ascii="Times New Roman" w:hAnsi="Times New Roman" w:cs="Times New Roman"/>
                <w:sz w:val="24"/>
                <w:szCs w:val="24"/>
                <w:lang w:val="en-US" w:eastAsia="zh-CN"/>
              </w:rPr>
              <w:t>P-00</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A/B</w:t>
            </w:r>
          </w:p>
        </w:tc>
        <w:tc>
          <w:tcPr>
            <w:tcW w:w="1049" w:type="dxa"/>
            <w:noWrap w:val="0"/>
            <w:vAlign w:val="center"/>
          </w:tcPr>
          <w:p w14:paraId="77A0C0C2">
            <w:pPr>
              <w:spacing w:line="440" w:lineRule="exact"/>
              <w:ind w:firstLine="0" w:firstLineChars="0"/>
              <w:jc w:val="center"/>
              <w:rPr>
                <w:rFonts w:hint="default" w:ascii="Times New Roman" w:hAnsi="Times New Roman" w:cs="Times New Roman"/>
                <w:sz w:val="24"/>
                <w:szCs w:val="24"/>
              </w:rPr>
            </w:pPr>
          </w:p>
        </w:tc>
      </w:tr>
    </w:tbl>
    <w:p w14:paraId="691874DC">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2、招标</w:t>
      </w:r>
      <w:r>
        <w:rPr>
          <w:rFonts w:hint="eastAsia" w:ascii="黑体" w:hAnsi="黑体" w:eastAsia="黑体" w:cs="黑体"/>
          <w:b w:val="0"/>
          <w:bCs w:val="0"/>
          <w:color w:val="auto"/>
          <w:sz w:val="32"/>
          <w:szCs w:val="32"/>
          <w:highlight w:val="none"/>
          <w:lang w:val="en-US" w:eastAsia="zh-CN"/>
        </w:rPr>
        <w:t>内容</w:t>
      </w:r>
    </w:p>
    <w:p w14:paraId="0501EF9F">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黑体" w:hAnsi="黑体" w:eastAsia="黑体" w:cs="黑体"/>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本次设备招标数量共计2台，循环水加压泵选用BB1型卧式中开离心泵。</w:t>
      </w:r>
    </w:p>
    <w:p w14:paraId="2E8BF50D">
      <w:pPr>
        <w:pStyle w:val="8"/>
        <w:keepNext w:val="0"/>
        <w:keepLines w:val="0"/>
        <w:pageBreakBefore w:val="0"/>
        <w:widowControl/>
        <w:numPr>
          <w:ilvl w:val="0"/>
          <w:numId w:val="2"/>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投标人资格要求</w:t>
      </w:r>
    </w:p>
    <w:p w14:paraId="0008E27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投标人应具有圆满履行合同的能力，包含但不限于：</w:t>
      </w:r>
    </w:p>
    <w:p w14:paraId="47E66FBE">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D6C1AFD">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3.2具有独立承担民事责任的能力；</w:t>
      </w:r>
    </w:p>
    <w:p w14:paraId="688BD32F">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3.3具有良好的商业信誉和健全的财务会计制度；</w:t>
      </w:r>
    </w:p>
    <w:p w14:paraId="2407605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3.4投标人在专业技术、设备设施、人员组织、业绩经验等方面具有设计、制造、质量控制、经营管理并经国家有关部门认可的资格和能力；</w:t>
      </w:r>
    </w:p>
    <w:p w14:paraId="2DFD6A2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3.5投标人具有完善的质量保证体系及其质量认证证明；</w:t>
      </w:r>
    </w:p>
    <w:p w14:paraId="33FC9F3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具有5年内设计生产制造同类型循环水加压泵：形式为卧式中开离心泵，输送介质冷却水，介质入口温度32℃，泵送条件下蒸汽压0.0042MPaA，额定流量2200m³/h，额定流量@扬程20m，有效汽蚀裕量7m，传动形式为直连，联轴器形式为弹性膜片带加长段。</w:t>
      </w:r>
      <w:bookmarkStart w:id="1" w:name="_GoBack"/>
      <w:bookmarkEnd w:id="1"/>
    </w:p>
    <w:p w14:paraId="26AC73B5">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满足及以上规模或同级别机泵设备3家及以上成功运行业绩，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59E27F6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3.7如标的物是国家法律、法规、部门规章及规范标准规定应具有有效生产许可证、特种设备生产许可证、制造计量器具许可证、国家强制性产品认证证书（3C认证）的，应提供证书；</w:t>
      </w:r>
    </w:p>
    <w:p w14:paraId="7DC79F8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3.8企业法定代表人为同一个人的两个及两个以上法人，或母公司、全资子公司及其控股公司，不得在同一标的物招标中同时投标；</w:t>
      </w:r>
    </w:p>
    <w:p w14:paraId="54482898">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3.9本次招标不接受代理商、流通商、联合体投标；</w:t>
      </w:r>
    </w:p>
    <w:p w14:paraId="1A3149E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3.10具备法律/行政法规规定的其他必要条件；</w:t>
      </w:r>
    </w:p>
    <w:p w14:paraId="4C95526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4、资格预审文件编制要求（按如下内容及顺序要求）</w:t>
      </w:r>
    </w:p>
    <w:p w14:paraId="59553BC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4.1封面</w:t>
      </w:r>
    </w:p>
    <w:p w14:paraId="6E309CD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4.2投标人报名表（格式后附）</w:t>
      </w:r>
    </w:p>
    <w:p w14:paraId="2BD2DE9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4.3法人授权书</w:t>
      </w:r>
    </w:p>
    <w:p w14:paraId="63F7945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4.4企业营业执照</w:t>
      </w:r>
    </w:p>
    <w:p w14:paraId="5CB031C8">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4.5提供有效资质证明文件</w:t>
      </w:r>
    </w:p>
    <w:p w14:paraId="2D966B1C">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4.6近三年已审计的财务报表</w:t>
      </w:r>
    </w:p>
    <w:p w14:paraId="0522472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4.7提供近5年内设计生产制造以上3.6条设备成功运行业绩证明资料。</w:t>
      </w:r>
    </w:p>
    <w:p w14:paraId="4761648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4.8企业生产许可证、特种设备生产许可证、制造计量器具许可证、国家强制性产品认证证书（如涉及）</w:t>
      </w:r>
    </w:p>
    <w:p w14:paraId="18E03D3B">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4.9提供企业所获奖项证明（如有）；</w:t>
      </w:r>
    </w:p>
    <w:p w14:paraId="5C6B8F3E">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4.10其它有必要提供给招标人的资料。</w:t>
      </w:r>
    </w:p>
    <w:p w14:paraId="456AB80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5、资格预审文件递交方式、递交时间</w:t>
      </w:r>
    </w:p>
    <w:p w14:paraId="43DA7BE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符合条件的意向投标人如有意参加投标，可按本公告要求编制资格预审文件，资格预审文件递交方式以下二种任选：</w:t>
      </w:r>
    </w:p>
    <w:p w14:paraId="56E03DCB">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递交方式一：以电子邮件的形式发送，要求为PDF格式，接收邮箱地址：</w:t>
      </w:r>
      <w:r>
        <w:rPr>
          <w:rFonts w:hint="eastAsia" w:ascii="仿宋" w:hAnsi="仿宋" w:eastAsia="仿宋" w:cs="仿宋"/>
          <w:color w:val="auto"/>
          <w:sz w:val="32"/>
          <w:szCs w:val="32"/>
          <w:highlight w:val="none"/>
          <w:lang w:val="en-US" w:eastAsia="zh-CN"/>
        </w:rPr>
        <w:t>zzmhgzbbj@163.com，邮件名为***公司循环水加压泵资质预审文件</w:t>
      </w:r>
      <w:r>
        <w:rPr>
          <w:rFonts w:hint="eastAsia" w:ascii="仿宋" w:hAnsi="仿宋" w:eastAsia="仿宋" w:cs="仿宋"/>
          <w:color w:val="auto"/>
          <w:sz w:val="32"/>
          <w:szCs w:val="32"/>
          <w:highlight w:val="none"/>
        </w:rPr>
        <w:t>。</w:t>
      </w:r>
    </w:p>
    <w:p w14:paraId="185C059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递交方式二：现场递交</w:t>
      </w:r>
    </w:p>
    <w:p w14:paraId="307EAE6D">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lang w:val="en-US" w:eastAsia="zh-CN"/>
        </w:rPr>
        <w:t>鄂尔多斯市乌审旗苏里格经济开发区纳林河产业园内蒙古卓正煤化工有限公司102室</w:t>
      </w:r>
      <w:r>
        <w:rPr>
          <w:rFonts w:hint="eastAsia" w:ascii="仿宋" w:hAnsi="仿宋" w:eastAsia="仿宋" w:cs="仿宋"/>
          <w:color w:val="auto"/>
          <w:sz w:val="32"/>
          <w:szCs w:val="32"/>
          <w:highlight w:val="none"/>
        </w:rPr>
        <w:t>。</w:t>
      </w:r>
    </w:p>
    <w:p w14:paraId="0743B7F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张文俊</w:t>
      </w:r>
      <w:r>
        <w:rPr>
          <w:rFonts w:hint="eastAsia" w:ascii="仿宋" w:hAnsi="仿宋" w:eastAsia="仿宋" w:cs="仿宋"/>
          <w:color w:val="auto"/>
          <w:sz w:val="32"/>
          <w:szCs w:val="32"/>
          <w:highlight w:val="none"/>
        </w:rPr>
        <w:t> 电话：</w:t>
      </w:r>
      <w:r>
        <w:rPr>
          <w:rFonts w:hint="eastAsia" w:ascii="仿宋" w:hAnsi="仿宋" w:eastAsia="仿宋" w:cs="仿宋"/>
          <w:color w:val="auto"/>
          <w:sz w:val="32"/>
          <w:szCs w:val="32"/>
          <w:highlight w:val="none"/>
          <w:lang w:val="en-US" w:eastAsia="zh-CN"/>
        </w:rPr>
        <w:t>17747321402</w:t>
      </w:r>
    </w:p>
    <w:p w14:paraId="0ED0216F">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递交截止时间：202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18:30</w:t>
      </w:r>
      <w:r>
        <w:rPr>
          <w:rFonts w:hint="eastAsia" w:ascii="仿宋" w:hAnsi="仿宋" w:eastAsia="仿宋" w:cs="仿宋"/>
          <w:color w:val="auto"/>
          <w:sz w:val="32"/>
          <w:szCs w:val="32"/>
          <w:highlight w:val="none"/>
        </w:rPr>
        <w:t>前</w:t>
      </w:r>
    </w:p>
    <w:p w14:paraId="0195A0A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6、投标资格的确定</w:t>
      </w:r>
    </w:p>
    <w:p w14:paraId="16B4FE3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6.1符合本公告所列的资格和条件要求并递交了资格预审文件的投标意向人并不意味着一定获得投标资格。</w:t>
      </w:r>
    </w:p>
    <w:p w14:paraId="60D6520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6.2招标人专家组将对全部已收到的资格预审资料进行分析，并独立、自主选择、确定正式的邀请投标人名单。</w:t>
      </w:r>
    </w:p>
    <w:p w14:paraId="5797D6E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6.3招标人选择和确定邀请投标名单的过程和方法将不会进行公示和告知。</w:t>
      </w:r>
    </w:p>
    <w:p w14:paraId="441D2E7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7、其他说明</w:t>
      </w:r>
    </w:p>
    <w:p w14:paraId="55B3421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7.1本阶段不组织现场踏勘，无进一步的资料提供。</w:t>
      </w:r>
    </w:p>
    <w:p w14:paraId="0A83846C">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7.2本公告的作用仅为遴选邀请投标人，具体技术及经济方面要求以正式的招标文件为准。</w:t>
      </w:r>
    </w:p>
    <w:p w14:paraId="06C7984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7.3本次报名暨资格预审为自愿参加，招标人不给予任何补偿，本阶段招标人不提供答疑服务。</w:t>
      </w:r>
    </w:p>
    <w:p w14:paraId="14E8D59E">
      <w:pPr>
        <w:pStyle w:val="8"/>
        <w:widowControl/>
        <w:spacing w:before="240" w:line="360" w:lineRule="auto"/>
        <w:contextualSpacing/>
        <w:rPr>
          <w:rFonts w:asciiTheme="minorEastAsia" w:hAnsiTheme="minorEastAsia"/>
          <w:color w:val="auto"/>
          <w:highlight w:val="none"/>
        </w:rPr>
      </w:pPr>
    </w:p>
    <w:p w14:paraId="5B52C312">
      <w:pPr>
        <w:pStyle w:val="8"/>
        <w:widowControl/>
        <w:spacing w:before="240" w:line="360" w:lineRule="auto"/>
        <w:contextualSpacing/>
        <w:rPr>
          <w:rFonts w:hint="eastAsia" w:ascii="仿宋" w:hAnsi="仿宋" w:eastAsia="仿宋" w:cs="仿宋"/>
          <w:color w:val="auto"/>
          <w:sz w:val="32"/>
          <w:szCs w:val="32"/>
          <w:highlight w:val="none"/>
        </w:rPr>
      </w:pPr>
    </w:p>
    <w:p w14:paraId="6989B9A8">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369F5B3C">
      <w:pPr>
        <w:pStyle w:val="8"/>
        <w:widowControl/>
        <w:spacing w:before="240" w:line="360" w:lineRule="auto"/>
        <w:contextualSpacing/>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报名登记表</w:t>
      </w:r>
      <w:r>
        <w:rPr>
          <w:rFonts w:hint="eastAsia" w:ascii="仿宋" w:hAnsi="仿宋" w:eastAsia="仿宋" w:cs="仿宋"/>
          <w:color w:val="auto"/>
          <w:sz w:val="32"/>
          <w:szCs w:val="32"/>
          <w:highlight w:val="none"/>
        </w:rPr>
        <w:fldChar w:fldCharType="end"/>
      </w:r>
    </w:p>
    <w:p w14:paraId="4CC6B2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kern w:val="0"/>
          <w:sz w:val="40"/>
          <w:szCs w:val="40"/>
          <w:highlight w:val="none"/>
        </w:rPr>
      </w:pPr>
      <w:r>
        <w:rPr>
          <w:rFonts w:hint="eastAsia" w:ascii="宋体" w:hAnsi="宋体" w:eastAsia="宋体" w:cs="宋体"/>
          <w:b/>
          <w:bCs w:val="0"/>
          <w:color w:val="auto"/>
          <w:sz w:val="40"/>
          <w:szCs w:val="40"/>
          <w:highlight w:val="none"/>
        </w:rPr>
        <w:t>投标人报名登记表</w:t>
      </w:r>
    </w:p>
    <w:tbl>
      <w:tblPr>
        <w:tblStyle w:val="9"/>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097DF7F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0701C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1553F286">
            <w:pPr>
              <w:widowControl/>
              <w:rPr>
                <w:rFonts w:hint="eastAsia" w:ascii="仿宋" w:hAnsi="仿宋" w:eastAsia="仿宋" w:cs="仿宋"/>
                <w:color w:val="auto"/>
                <w:kern w:val="0"/>
                <w:sz w:val="24"/>
                <w:szCs w:val="24"/>
                <w:highlight w:val="none"/>
              </w:rPr>
            </w:pPr>
          </w:p>
        </w:tc>
      </w:tr>
      <w:tr w14:paraId="7BCEE5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6A28C0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1DE99D6">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01271F8B">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90739E1">
            <w:pPr>
              <w:widowControl/>
              <w:rPr>
                <w:rFonts w:hint="eastAsia" w:ascii="仿宋" w:hAnsi="仿宋" w:eastAsia="仿宋" w:cs="仿宋"/>
                <w:color w:val="auto"/>
                <w:kern w:val="0"/>
                <w:sz w:val="24"/>
                <w:szCs w:val="24"/>
                <w:highlight w:val="none"/>
              </w:rPr>
            </w:pPr>
          </w:p>
        </w:tc>
      </w:tr>
      <w:tr w14:paraId="4BA5DFA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41D7A8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43E1F957">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58717A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72234684">
            <w:pPr>
              <w:widowControl/>
              <w:rPr>
                <w:rFonts w:hint="eastAsia" w:ascii="仿宋" w:hAnsi="仿宋" w:eastAsia="仿宋" w:cs="仿宋"/>
                <w:color w:val="auto"/>
                <w:kern w:val="0"/>
                <w:sz w:val="24"/>
                <w:szCs w:val="24"/>
                <w:highlight w:val="none"/>
              </w:rPr>
            </w:pPr>
          </w:p>
        </w:tc>
      </w:tr>
      <w:tr w14:paraId="7DB7D749">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4494AD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296FBEC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FB4508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6A9257DC">
            <w:pPr>
              <w:widowControl/>
              <w:rPr>
                <w:rFonts w:hint="eastAsia" w:ascii="仿宋" w:hAnsi="仿宋" w:eastAsia="仿宋" w:cs="仿宋"/>
                <w:color w:val="auto"/>
                <w:kern w:val="0"/>
                <w:sz w:val="24"/>
                <w:szCs w:val="24"/>
                <w:highlight w:val="none"/>
              </w:rPr>
            </w:pPr>
          </w:p>
        </w:tc>
      </w:tr>
      <w:tr w14:paraId="410F940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B304C3">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2A1AC63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4CB0655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5F1506B4">
            <w:pPr>
              <w:widowControl/>
              <w:rPr>
                <w:rFonts w:hint="eastAsia" w:ascii="仿宋" w:hAnsi="仿宋" w:eastAsia="仿宋" w:cs="仿宋"/>
                <w:color w:val="auto"/>
                <w:kern w:val="0"/>
                <w:sz w:val="24"/>
                <w:szCs w:val="24"/>
                <w:highlight w:val="none"/>
              </w:rPr>
            </w:pPr>
          </w:p>
        </w:tc>
      </w:tr>
      <w:tr w14:paraId="48218B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5CA39E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3667441">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□国家级□省、直辖市、自治区级□地市级□县区级</w:t>
            </w:r>
          </w:p>
        </w:tc>
      </w:tr>
      <w:tr w14:paraId="5CAFB26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087DE80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83629B1">
            <w:pPr>
              <w:widowControl/>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□国有□集体□私营□个体□合资□其它</w:t>
            </w:r>
          </w:p>
        </w:tc>
      </w:tr>
      <w:tr w14:paraId="1297C936">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E0E36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FD670B6">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6D7F2D3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079FD9F">
            <w:pPr>
              <w:widowControl/>
              <w:rPr>
                <w:rFonts w:hint="eastAsia" w:ascii="仿宋" w:hAnsi="仿宋" w:eastAsia="仿宋" w:cs="仿宋"/>
                <w:color w:val="auto"/>
                <w:kern w:val="0"/>
                <w:sz w:val="24"/>
                <w:szCs w:val="24"/>
                <w:highlight w:val="none"/>
              </w:rPr>
            </w:pPr>
          </w:p>
        </w:tc>
      </w:tr>
      <w:tr w14:paraId="06F282DF">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4FB212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536D21D">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E934AF2">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EA06342">
            <w:pPr>
              <w:widowControl/>
              <w:rPr>
                <w:rFonts w:hint="eastAsia" w:ascii="仿宋" w:hAnsi="仿宋" w:eastAsia="仿宋" w:cs="仿宋"/>
                <w:color w:val="auto"/>
                <w:kern w:val="0"/>
                <w:sz w:val="24"/>
                <w:szCs w:val="24"/>
                <w:highlight w:val="none"/>
              </w:rPr>
            </w:pPr>
          </w:p>
        </w:tc>
      </w:tr>
      <w:tr w14:paraId="17C58C0B">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644B512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4775B83A">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7A3581C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1B5E549">
            <w:pPr>
              <w:widowControl/>
              <w:rPr>
                <w:rFonts w:hint="eastAsia" w:ascii="仿宋" w:hAnsi="仿宋" w:eastAsia="仿宋" w:cs="仿宋"/>
                <w:color w:val="auto"/>
                <w:kern w:val="0"/>
                <w:sz w:val="24"/>
                <w:szCs w:val="24"/>
                <w:highlight w:val="none"/>
              </w:rPr>
            </w:pPr>
          </w:p>
        </w:tc>
      </w:tr>
      <w:tr w14:paraId="140A0316">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64A27C0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F60D0B">
            <w:pPr>
              <w:widowControl/>
              <w:rPr>
                <w:rFonts w:hint="eastAsia" w:ascii="仿宋" w:hAnsi="仿宋" w:eastAsia="仿宋" w:cs="仿宋"/>
                <w:color w:val="auto"/>
                <w:kern w:val="0"/>
                <w:sz w:val="24"/>
                <w:szCs w:val="24"/>
                <w:highlight w:val="none"/>
              </w:rPr>
            </w:pPr>
          </w:p>
        </w:tc>
      </w:tr>
      <w:tr w14:paraId="5CC70863">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78991E6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认证情况及</w:t>
            </w:r>
          </w:p>
          <w:p w14:paraId="603B6B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4AB48E1">
            <w:pPr>
              <w:widowControl/>
              <w:rPr>
                <w:rFonts w:hint="eastAsia" w:ascii="仿宋" w:hAnsi="仿宋" w:eastAsia="仿宋" w:cs="仿宋"/>
                <w:color w:val="auto"/>
                <w:kern w:val="0"/>
                <w:sz w:val="24"/>
                <w:szCs w:val="24"/>
                <w:highlight w:val="none"/>
              </w:rPr>
            </w:pPr>
          </w:p>
        </w:tc>
      </w:tr>
      <w:tr w14:paraId="2F48617D">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1D733BEF">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C1EE6AB">
            <w:pPr>
              <w:widowControl/>
              <w:rPr>
                <w:rFonts w:hint="eastAsia" w:ascii="仿宋" w:hAnsi="仿宋" w:eastAsia="仿宋" w:cs="仿宋"/>
                <w:color w:val="auto"/>
                <w:kern w:val="0"/>
                <w:sz w:val="24"/>
                <w:szCs w:val="24"/>
                <w:highlight w:val="none"/>
              </w:rPr>
            </w:pPr>
          </w:p>
          <w:p w14:paraId="52EB2561">
            <w:pPr>
              <w:widowControl/>
              <w:rPr>
                <w:rFonts w:hint="eastAsia" w:ascii="仿宋" w:hAnsi="仿宋" w:eastAsia="仿宋" w:cs="仿宋"/>
                <w:color w:val="auto"/>
                <w:kern w:val="0"/>
                <w:sz w:val="24"/>
                <w:szCs w:val="24"/>
                <w:highlight w:val="none"/>
              </w:rPr>
            </w:pPr>
          </w:p>
          <w:p w14:paraId="7E8A2E1C">
            <w:pPr>
              <w:widowControl/>
              <w:rPr>
                <w:rFonts w:hint="eastAsia" w:ascii="仿宋" w:hAnsi="仿宋" w:eastAsia="仿宋" w:cs="仿宋"/>
                <w:color w:val="auto"/>
                <w:kern w:val="0"/>
                <w:sz w:val="24"/>
                <w:szCs w:val="24"/>
                <w:highlight w:val="none"/>
              </w:rPr>
            </w:pPr>
          </w:p>
        </w:tc>
      </w:tr>
      <w:tr w14:paraId="6B7DAB95">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3ABFE3B9">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8F23252">
            <w:pPr>
              <w:widowControl/>
              <w:rPr>
                <w:rFonts w:hint="eastAsia" w:ascii="仿宋" w:hAnsi="仿宋" w:eastAsia="仿宋" w:cs="仿宋"/>
                <w:color w:val="auto"/>
                <w:kern w:val="0"/>
                <w:sz w:val="24"/>
                <w:szCs w:val="24"/>
                <w:highlight w:val="none"/>
              </w:rPr>
            </w:pPr>
          </w:p>
          <w:p w14:paraId="698E30D6">
            <w:pPr>
              <w:widowControl/>
              <w:rPr>
                <w:rFonts w:hint="eastAsia" w:ascii="仿宋" w:hAnsi="仿宋" w:eastAsia="仿宋" w:cs="仿宋"/>
                <w:color w:val="auto"/>
                <w:kern w:val="0"/>
                <w:sz w:val="24"/>
                <w:szCs w:val="24"/>
                <w:highlight w:val="none"/>
              </w:rPr>
            </w:pPr>
          </w:p>
          <w:p w14:paraId="047DF7FD">
            <w:pPr>
              <w:widowControl/>
              <w:rPr>
                <w:rFonts w:hint="eastAsia" w:ascii="仿宋" w:hAnsi="仿宋" w:eastAsia="仿宋" w:cs="仿宋"/>
                <w:color w:val="auto"/>
                <w:kern w:val="0"/>
                <w:sz w:val="24"/>
                <w:szCs w:val="24"/>
                <w:highlight w:val="none"/>
              </w:rPr>
            </w:pPr>
          </w:p>
        </w:tc>
      </w:tr>
      <w:tr w14:paraId="2A55CD0D">
        <w:tblPrEx>
          <w:tblCellMar>
            <w:top w:w="0" w:type="dxa"/>
            <w:left w:w="0" w:type="dxa"/>
            <w:bottom w:w="0" w:type="dxa"/>
            <w:right w:w="0" w:type="dxa"/>
          </w:tblCellMar>
        </w:tblPrEx>
        <w:trPr>
          <w:trHeight w:val="1714" w:hRule="atLeast"/>
        </w:trPr>
        <w:tc>
          <w:tcPr>
            <w:tcW w:w="1635" w:type="dxa"/>
            <w:tcBorders>
              <w:top w:val="single" w:color="auto" w:sz="6" w:space="0"/>
              <w:left w:val="single" w:color="auto" w:sz="6" w:space="0"/>
              <w:bottom w:val="single" w:color="auto" w:sz="6" w:space="0"/>
              <w:right w:val="single" w:color="auto" w:sz="6" w:space="0"/>
            </w:tcBorders>
            <w:vAlign w:val="center"/>
          </w:tcPr>
          <w:p w14:paraId="2ED4FABD">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385F656">
            <w:pPr>
              <w:widowControl/>
              <w:rPr>
                <w:rFonts w:hint="eastAsia" w:ascii="仿宋" w:hAnsi="仿宋" w:eastAsia="仿宋" w:cs="仿宋"/>
                <w:color w:val="auto"/>
                <w:kern w:val="0"/>
                <w:sz w:val="24"/>
                <w:szCs w:val="24"/>
                <w:highlight w:val="none"/>
              </w:rPr>
            </w:pPr>
          </w:p>
        </w:tc>
      </w:tr>
      <w:tr w14:paraId="0170CDE8">
        <w:tblPrEx>
          <w:tblCellMar>
            <w:top w:w="0" w:type="dxa"/>
            <w:left w:w="0" w:type="dxa"/>
            <w:bottom w:w="0" w:type="dxa"/>
            <w:right w:w="0" w:type="dxa"/>
          </w:tblCellMar>
        </w:tblPrEx>
        <w:trPr>
          <w:trHeight w:val="1737" w:hRule="atLeast"/>
        </w:trPr>
        <w:tc>
          <w:tcPr>
            <w:tcW w:w="1635" w:type="dxa"/>
            <w:tcBorders>
              <w:top w:val="single" w:color="auto" w:sz="6" w:space="0"/>
              <w:left w:val="single" w:color="auto" w:sz="6" w:space="0"/>
              <w:bottom w:val="single" w:color="auto" w:sz="6" w:space="0"/>
              <w:right w:val="single" w:color="auto" w:sz="6" w:space="0"/>
            </w:tcBorders>
            <w:vAlign w:val="center"/>
          </w:tcPr>
          <w:p w14:paraId="4CD087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附件（证书</w:t>
            </w:r>
          </w:p>
          <w:p w14:paraId="1D63A10E">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937F995">
            <w:pPr>
              <w:widowControl/>
              <w:rPr>
                <w:rFonts w:hint="eastAsia" w:ascii="仿宋" w:hAnsi="仿宋" w:eastAsia="仿宋" w:cs="仿宋"/>
                <w:color w:val="auto"/>
                <w:kern w:val="0"/>
                <w:sz w:val="24"/>
                <w:szCs w:val="24"/>
                <w:highlight w:val="none"/>
              </w:rPr>
            </w:pPr>
          </w:p>
          <w:p w14:paraId="50343030">
            <w:pPr>
              <w:widowControl/>
              <w:rPr>
                <w:rFonts w:hint="eastAsia" w:ascii="仿宋" w:hAnsi="仿宋" w:eastAsia="仿宋" w:cs="仿宋"/>
                <w:color w:val="auto"/>
                <w:kern w:val="0"/>
                <w:sz w:val="24"/>
                <w:szCs w:val="24"/>
                <w:highlight w:val="none"/>
              </w:rPr>
            </w:pPr>
          </w:p>
          <w:p w14:paraId="31347C95">
            <w:pPr>
              <w:widowControl/>
              <w:rPr>
                <w:rFonts w:hint="eastAsia" w:ascii="仿宋" w:hAnsi="仿宋" w:eastAsia="仿宋" w:cs="仿宋"/>
                <w:color w:val="auto"/>
                <w:kern w:val="0"/>
                <w:sz w:val="24"/>
                <w:szCs w:val="24"/>
                <w:highlight w:val="none"/>
              </w:rPr>
            </w:pPr>
          </w:p>
          <w:p w14:paraId="52F39156">
            <w:pPr>
              <w:widowControl/>
              <w:rPr>
                <w:rFonts w:hint="eastAsia" w:ascii="仿宋" w:hAnsi="仿宋" w:eastAsia="仿宋" w:cs="仿宋"/>
                <w:color w:val="auto"/>
                <w:kern w:val="0"/>
                <w:sz w:val="24"/>
                <w:szCs w:val="24"/>
                <w:highlight w:val="none"/>
              </w:rPr>
            </w:pPr>
          </w:p>
          <w:p w14:paraId="60E34DD5">
            <w:pPr>
              <w:widowControl/>
              <w:rPr>
                <w:rFonts w:hint="eastAsia" w:ascii="仿宋" w:hAnsi="仿宋" w:eastAsia="仿宋" w:cs="仿宋"/>
                <w:color w:val="auto"/>
                <w:kern w:val="0"/>
                <w:sz w:val="24"/>
                <w:szCs w:val="24"/>
                <w:highlight w:val="none"/>
              </w:rPr>
            </w:pPr>
          </w:p>
        </w:tc>
      </w:tr>
      <w:tr w14:paraId="79A247A9">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649EED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7C25CE6D">
            <w:pPr>
              <w:widowControl/>
              <w:ind w:firstLine="723" w:firstLineChars="300"/>
              <w:jc w:val="left"/>
              <w:rPr>
                <w:rFonts w:hint="eastAsia" w:ascii="仿宋" w:hAnsi="仿宋" w:eastAsia="仿宋" w:cs="仿宋"/>
                <w:b/>
                <w:color w:val="auto"/>
                <w:kern w:val="0"/>
                <w:sz w:val="24"/>
                <w:szCs w:val="24"/>
                <w:highlight w:val="none"/>
              </w:rPr>
            </w:pPr>
          </w:p>
        </w:tc>
      </w:tr>
    </w:tbl>
    <w:p w14:paraId="40CCD799">
      <w:pPr>
        <w:widowControl/>
        <w:rPr>
          <w:rFonts w:ascii="宋体" w:hAnsi="宋体" w:eastAsia="宋体" w:cs="Tahoma"/>
          <w:color w:val="auto"/>
          <w:kern w:val="0"/>
          <w:szCs w:val="21"/>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AE2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E323D"/>
    <w:multiLevelType w:val="multilevel"/>
    <w:tmpl w:val="287E323D"/>
    <w:lvl w:ilvl="0" w:tentative="0">
      <w:start w:val="1"/>
      <w:numFmt w:val="decimal"/>
      <w:pStyle w:val="22"/>
      <w:lvlText w:val="%1."/>
      <w:lvlJc w:val="left"/>
      <w:pPr>
        <w:ind w:left="846" w:hanging="420"/>
      </w:pPr>
      <w:rPr>
        <w:rFonts w:cs="Times New Roman"/>
        <w:i w:val="0"/>
        <w:iCs w:val="0"/>
        <w:caps w:val="0"/>
        <w:smallCaps w:val="0"/>
        <w:strike w:val="0"/>
        <w:dstrike w:val="0"/>
        <w:outline w:val="0"/>
        <w:shadow w:val="0"/>
        <w:emboss w:val="0"/>
        <w:imprint w:val="0"/>
        <w:vanish w:val="0"/>
        <w:spacing w:val="0"/>
        <w:position w:val="0"/>
        <w:sz w:val="24"/>
        <w:szCs w:val="24"/>
        <w:u w:val="none"/>
        <w:vertAlign w:val="baseline"/>
        <w14:ligatures w14:val="none"/>
        <w14:numForm w14:val="default"/>
        <w14:numSpacing w14:val="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3122A2A5"/>
    <w:multiLevelType w:val="singleLevel"/>
    <w:tmpl w:val="3122A2A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mMyZjM2OTRmYmMzZTg0NTZmMTM4YmI4OGExYTMifQ=="/>
    <w:docVar w:name="KSO_WPS_MARK_KEY" w:val="09cf88af-e3a4-4c9d-bf74-d927baee7938"/>
  </w:docVars>
  <w:rsids>
    <w:rsidRoot w:val="2E257D4F"/>
    <w:rsid w:val="0000747A"/>
    <w:rsid w:val="000504B0"/>
    <w:rsid w:val="00064DED"/>
    <w:rsid w:val="000801CA"/>
    <w:rsid w:val="000844AB"/>
    <w:rsid w:val="000A66F0"/>
    <w:rsid w:val="000A70C6"/>
    <w:rsid w:val="000C21B8"/>
    <w:rsid w:val="000C7ABC"/>
    <w:rsid w:val="000D703C"/>
    <w:rsid w:val="000E467A"/>
    <w:rsid w:val="00137EB0"/>
    <w:rsid w:val="001662F9"/>
    <w:rsid w:val="0017010B"/>
    <w:rsid w:val="00175DC0"/>
    <w:rsid w:val="00177730"/>
    <w:rsid w:val="00180922"/>
    <w:rsid w:val="00181BAE"/>
    <w:rsid w:val="001873BB"/>
    <w:rsid w:val="00194913"/>
    <w:rsid w:val="001F5197"/>
    <w:rsid w:val="00200BC1"/>
    <w:rsid w:val="00204D0E"/>
    <w:rsid w:val="00243251"/>
    <w:rsid w:val="00244FF6"/>
    <w:rsid w:val="00256178"/>
    <w:rsid w:val="002729DE"/>
    <w:rsid w:val="00287AD3"/>
    <w:rsid w:val="002B6AD2"/>
    <w:rsid w:val="002C0551"/>
    <w:rsid w:val="002D66F5"/>
    <w:rsid w:val="002F11FC"/>
    <w:rsid w:val="002F4BA7"/>
    <w:rsid w:val="00323C41"/>
    <w:rsid w:val="00333D37"/>
    <w:rsid w:val="003347A1"/>
    <w:rsid w:val="003467CE"/>
    <w:rsid w:val="00347D93"/>
    <w:rsid w:val="00352DA9"/>
    <w:rsid w:val="00380F5C"/>
    <w:rsid w:val="003906E9"/>
    <w:rsid w:val="003D0EE4"/>
    <w:rsid w:val="003D21FA"/>
    <w:rsid w:val="003E31CC"/>
    <w:rsid w:val="00413A72"/>
    <w:rsid w:val="00432169"/>
    <w:rsid w:val="00453837"/>
    <w:rsid w:val="004620FE"/>
    <w:rsid w:val="00466721"/>
    <w:rsid w:val="00487C00"/>
    <w:rsid w:val="004A1BAE"/>
    <w:rsid w:val="004C47E6"/>
    <w:rsid w:val="004C57B5"/>
    <w:rsid w:val="004F041E"/>
    <w:rsid w:val="004F1C97"/>
    <w:rsid w:val="00516D14"/>
    <w:rsid w:val="005315F8"/>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36B16"/>
    <w:rsid w:val="00751F1C"/>
    <w:rsid w:val="00785903"/>
    <w:rsid w:val="007A335F"/>
    <w:rsid w:val="007A65EF"/>
    <w:rsid w:val="007B6400"/>
    <w:rsid w:val="007C2962"/>
    <w:rsid w:val="007C33A8"/>
    <w:rsid w:val="007C58AC"/>
    <w:rsid w:val="00813B37"/>
    <w:rsid w:val="00836CF6"/>
    <w:rsid w:val="00850AFB"/>
    <w:rsid w:val="00864E8C"/>
    <w:rsid w:val="0088121F"/>
    <w:rsid w:val="0089020D"/>
    <w:rsid w:val="008C474C"/>
    <w:rsid w:val="008F0858"/>
    <w:rsid w:val="008F3796"/>
    <w:rsid w:val="009066C4"/>
    <w:rsid w:val="0092125D"/>
    <w:rsid w:val="0093702F"/>
    <w:rsid w:val="009372BD"/>
    <w:rsid w:val="00937F10"/>
    <w:rsid w:val="00942305"/>
    <w:rsid w:val="0094523E"/>
    <w:rsid w:val="00946410"/>
    <w:rsid w:val="00995AA7"/>
    <w:rsid w:val="009A140A"/>
    <w:rsid w:val="009D5D3F"/>
    <w:rsid w:val="009D68B3"/>
    <w:rsid w:val="009D7884"/>
    <w:rsid w:val="009E5C44"/>
    <w:rsid w:val="00A11132"/>
    <w:rsid w:val="00A157F2"/>
    <w:rsid w:val="00A3498D"/>
    <w:rsid w:val="00A86F4C"/>
    <w:rsid w:val="00AA14D9"/>
    <w:rsid w:val="00AA6D8D"/>
    <w:rsid w:val="00AC0148"/>
    <w:rsid w:val="00AC1675"/>
    <w:rsid w:val="00AC4B70"/>
    <w:rsid w:val="00AE0798"/>
    <w:rsid w:val="00AF3208"/>
    <w:rsid w:val="00B04B6D"/>
    <w:rsid w:val="00B15620"/>
    <w:rsid w:val="00B24B12"/>
    <w:rsid w:val="00B33033"/>
    <w:rsid w:val="00B406E3"/>
    <w:rsid w:val="00B411A9"/>
    <w:rsid w:val="00B509FF"/>
    <w:rsid w:val="00B54E66"/>
    <w:rsid w:val="00B83919"/>
    <w:rsid w:val="00B96E91"/>
    <w:rsid w:val="00BA5595"/>
    <w:rsid w:val="00BB374E"/>
    <w:rsid w:val="00BC6744"/>
    <w:rsid w:val="00BE2643"/>
    <w:rsid w:val="00BE2D39"/>
    <w:rsid w:val="00BF5665"/>
    <w:rsid w:val="00C62C63"/>
    <w:rsid w:val="00C66279"/>
    <w:rsid w:val="00C834DE"/>
    <w:rsid w:val="00C93704"/>
    <w:rsid w:val="00C97CA4"/>
    <w:rsid w:val="00CA5303"/>
    <w:rsid w:val="00CA7667"/>
    <w:rsid w:val="00CD3E78"/>
    <w:rsid w:val="00CE3627"/>
    <w:rsid w:val="00D218B9"/>
    <w:rsid w:val="00D256F3"/>
    <w:rsid w:val="00D353E6"/>
    <w:rsid w:val="00D57579"/>
    <w:rsid w:val="00D6105C"/>
    <w:rsid w:val="00D71E72"/>
    <w:rsid w:val="00DA19B5"/>
    <w:rsid w:val="00DA4D12"/>
    <w:rsid w:val="00DE40FB"/>
    <w:rsid w:val="00DE6720"/>
    <w:rsid w:val="00E16684"/>
    <w:rsid w:val="00E556EA"/>
    <w:rsid w:val="00E64EFB"/>
    <w:rsid w:val="00E7130F"/>
    <w:rsid w:val="00E71E4F"/>
    <w:rsid w:val="00E809B9"/>
    <w:rsid w:val="00E9323E"/>
    <w:rsid w:val="00EB1EFA"/>
    <w:rsid w:val="00EB3B2B"/>
    <w:rsid w:val="00EB3C57"/>
    <w:rsid w:val="00ED04C7"/>
    <w:rsid w:val="00EE249D"/>
    <w:rsid w:val="00EE5747"/>
    <w:rsid w:val="00F16D08"/>
    <w:rsid w:val="00F1729F"/>
    <w:rsid w:val="00F3783A"/>
    <w:rsid w:val="00F4454C"/>
    <w:rsid w:val="00F60730"/>
    <w:rsid w:val="00F620F0"/>
    <w:rsid w:val="00F64516"/>
    <w:rsid w:val="00F74A97"/>
    <w:rsid w:val="00FA2683"/>
    <w:rsid w:val="00FD40FB"/>
    <w:rsid w:val="018F37DC"/>
    <w:rsid w:val="02417525"/>
    <w:rsid w:val="025733E7"/>
    <w:rsid w:val="064C08DC"/>
    <w:rsid w:val="06846D8D"/>
    <w:rsid w:val="097A09C3"/>
    <w:rsid w:val="0AF23689"/>
    <w:rsid w:val="0C935725"/>
    <w:rsid w:val="13D519FE"/>
    <w:rsid w:val="14DA3004"/>
    <w:rsid w:val="1CC21DD5"/>
    <w:rsid w:val="1F2C2B45"/>
    <w:rsid w:val="201B64C9"/>
    <w:rsid w:val="287B1CF7"/>
    <w:rsid w:val="2E257D4F"/>
    <w:rsid w:val="303228DB"/>
    <w:rsid w:val="32D82E2A"/>
    <w:rsid w:val="339A60D2"/>
    <w:rsid w:val="38B67F47"/>
    <w:rsid w:val="3954490E"/>
    <w:rsid w:val="3CA81562"/>
    <w:rsid w:val="43576028"/>
    <w:rsid w:val="43E64624"/>
    <w:rsid w:val="44C82A3E"/>
    <w:rsid w:val="4F3079D8"/>
    <w:rsid w:val="52943982"/>
    <w:rsid w:val="531E1AE5"/>
    <w:rsid w:val="55155A16"/>
    <w:rsid w:val="563B008F"/>
    <w:rsid w:val="58466F3B"/>
    <w:rsid w:val="5F3965EF"/>
    <w:rsid w:val="60711334"/>
    <w:rsid w:val="62D84685"/>
    <w:rsid w:val="65D509EA"/>
    <w:rsid w:val="6A891200"/>
    <w:rsid w:val="6BE71A74"/>
    <w:rsid w:val="6E5C617A"/>
    <w:rsid w:val="703159B5"/>
    <w:rsid w:val="707B3A00"/>
    <w:rsid w:val="72A2712C"/>
    <w:rsid w:val="7FA37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
    <w:name w:val="Normal Indent"/>
    <w:basedOn w:val="1"/>
    <w:qFormat/>
    <w:uiPriority w:val="0"/>
    <w:pPr>
      <w:ind w:firstLine="420" w:firstLineChars="200"/>
    </w:pPr>
    <w:rPr>
      <w:szCs w:val="24"/>
    </w:rPr>
  </w:style>
  <w:style w:type="paragraph" w:styleId="4">
    <w:name w:val="Body Text"/>
    <w:basedOn w:val="1"/>
    <w:qFormat/>
    <w:uiPriority w:val="0"/>
    <w:pPr>
      <w:spacing w:line="360" w:lineRule="auto"/>
    </w:pPr>
    <w:rPr>
      <w:sz w:val="24"/>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styleId="14">
    <w:name w:val="HTML Code"/>
    <w:basedOn w:val="10"/>
    <w:qFormat/>
    <w:uiPriority w:val="0"/>
    <w:rPr>
      <w:rFonts w:hint="default" w:ascii="monospace" w:hAnsi="monospace" w:eastAsia="monospace" w:cs="monospace"/>
      <w:sz w:val="21"/>
      <w:szCs w:val="21"/>
    </w:rPr>
  </w:style>
  <w:style w:type="character" w:styleId="15">
    <w:name w:val="HTML Keyboard"/>
    <w:basedOn w:val="10"/>
    <w:qFormat/>
    <w:uiPriority w:val="0"/>
    <w:rPr>
      <w:rFonts w:ascii="monospace" w:hAnsi="monospace" w:eastAsia="monospace" w:cs="monospace"/>
      <w:sz w:val="21"/>
      <w:szCs w:val="21"/>
    </w:rPr>
  </w:style>
  <w:style w:type="character" w:styleId="16">
    <w:name w:val="HTML Sample"/>
    <w:basedOn w:val="10"/>
    <w:qFormat/>
    <w:uiPriority w:val="0"/>
    <w:rPr>
      <w:rFonts w:hint="default" w:ascii="monospace" w:hAnsi="monospace" w:eastAsia="monospace" w:cs="monospace"/>
      <w:sz w:val="21"/>
      <w:szCs w:val="21"/>
    </w:rPr>
  </w:style>
  <w:style w:type="character" w:customStyle="1" w:styleId="17">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 w:type="character" w:customStyle="1" w:styleId="20">
    <w:name w:val="未处理的提及1"/>
    <w:basedOn w:val="10"/>
    <w:semiHidden/>
    <w:unhideWhenUsed/>
    <w:qFormat/>
    <w:uiPriority w:val="99"/>
    <w:rPr>
      <w:color w:val="605E5C"/>
      <w:shd w:val="clear" w:color="auto" w:fill="E1DFDD"/>
    </w:rPr>
  </w:style>
  <w:style w:type="paragraph" w:customStyle="1" w:styleId="21">
    <w:name w:val="列出段落3"/>
    <w:basedOn w:val="1"/>
    <w:unhideWhenUsed/>
    <w:qFormat/>
    <w:uiPriority w:val="99"/>
    <w:pPr>
      <w:ind w:firstLine="420" w:firstLineChars="200"/>
    </w:pPr>
  </w:style>
  <w:style w:type="paragraph" w:customStyle="1" w:styleId="22">
    <w:name w:val="样式2"/>
    <w:basedOn w:val="1"/>
    <w:qFormat/>
    <w:uiPriority w:val="0"/>
    <w:pPr>
      <w:numPr>
        <w:ilvl w:val="0"/>
        <w:numId w:val="1"/>
      </w:numPr>
      <w:spacing w:line="348" w:lineRule="auto"/>
    </w:pPr>
    <w:rPr>
      <w:rFonts w:ascii="宋体" w:hAnsi="宋体"/>
      <w:b/>
      <w:bCs/>
      <w:szCs w:val="21"/>
    </w:rPr>
  </w:style>
  <w:style w:type="paragraph" w:customStyle="1" w:styleId="23">
    <w:name w:val="Table Paragraph"/>
    <w:basedOn w:val="1"/>
    <w:qFormat/>
    <w:uiPriority w:val="1"/>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2362</Words>
  <Characters>2550</Characters>
  <Lines>15</Lines>
  <Paragraphs>4</Paragraphs>
  <TotalTime>22</TotalTime>
  <ScaleCrop>false</ScaleCrop>
  <LinksUpToDate>false</LinksUpToDate>
  <CharactersWithSpaces>2555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风太大</cp:lastModifiedBy>
  <cp:lastPrinted>2023-08-23T03:36:00Z</cp:lastPrinted>
  <dcterms:modified xsi:type="dcterms:W3CDTF">2024-10-29T09:16:21Z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53FF7C0BCA034ECD91C7B84D716246D1_13</vt:lpwstr>
  </property>
</Properties>
</file>